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8F752B" w:rsidRPr="00ED04EC" w14:paraId="3B9CBBA3" w14:textId="77777777" w:rsidTr="00366589">
        <w:trPr>
          <w:trHeight w:val="144"/>
          <w:jc w:val="right"/>
        </w:trPr>
        <w:tc>
          <w:tcPr>
            <w:tcW w:w="1854" w:type="dxa"/>
            <w:hideMark/>
          </w:tcPr>
          <w:p w14:paraId="030A4243" w14:textId="77777777" w:rsidR="008F752B" w:rsidRPr="008F752B" w:rsidRDefault="008F752B" w:rsidP="00366589">
            <w:pPr>
              <w:pStyle w:val="Header"/>
              <w:rPr>
                <w:rFonts w:cs="Arial"/>
                <w:sz w:val="16"/>
                <w:szCs w:val="16"/>
              </w:rPr>
            </w:pPr>
            <w:r w:rsidRPr="008F752B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8F752B" w:rsidRPr="00ED04EC" w14:paraId="098C5C67" w14:textId="77777777" w:rsidTr="00366589">
        <w:trPr>
          <w:trHeight w:val="378"/>
          <w:jc w:val="right"/>
        </w:trPr>
        <w:tc>
          <w:tcPr>
            <w:tcW w:w="1854" w:type="dxa"/>
            <w:hideMark/>
          </w:tcPr>
          <w:p w14:paraId="06D73802" w14:textId="05C8816E" w:rsidR="008F752B" w:rsidRPr="008F752B" w:rsidRDefault="008F752B" w:rsidP="00366589">
            <w:pPr>
              <w:pStyle w:val="Header"/>
              <w:rPr>
                <w:rFonts w:cs="Arial"/>
                <w:sz w:val="16"/>
                <w:szCs w:val="16"/>
              </w:rPr>
            </w:pPr>
            <w:r w:rsidRPr="008F752B">
              <w:rPr>
                <w:rFonts w:cs="Arial"/>
                <w:sz w:val="16"/>
                <w:szCs w:val="16"/>
              </w:rPr>
              <w:t>3017-A</w:t>
            </w:r>
          </w:p>
        </w:tc>
      </w:tr>
    </w:tbl>
    <w:p w14:paraId="027857DA" w14:textId="77777777" w:rsidR="00DA307C" w:rsidRDefault="00DA307C" w:rsidP="00C50267">
      <w:pPr>
        <w:pStyle w:val="BodyText"/>
        <w:sectPr w:rsidR="00DA307C" w:rsidSect="003A526F">
          <w:headerReference w:type="default" r:id="rId12"/>
          <w:footerReference w:type="default" r:id="rId13"/>
          <w:footerReference w:type="first" r:id="rId14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DC0D363" w:rsidR="004B15BB" w:rsidRDefault="00B21916" w:rsidP="007E5C16">
      <w:pPr>
        <w:pStyle w:val="Heading1"/>
      </w:pPr>
      <w:r w:rsidRPr="00B21916">
        <w:t>S</w:t>
      </w:r>
      <w:r w:rsidR="003E42DD">
        <w:t>pecialty</w:t>
      </w:r>
      <w:r w:rsidRPr="00B21916">
        <w:t xml:space="preserve"> G</w:t>
      </w:r>
      <w:r w:rsidR="003E42DD">
        <w:t>uideline</w:t>
      </w:r>
      <w:r w:rsidRPr="00B21916">
        <w:t xml:space="preserve"> M</w:t>
      </w:r>
      <w:r w:rsidR="000D7A2D">
        <w:t>anagement</w:t>
      </w:r>
      <w:r w:rsidR="008C54D9" w:rsidRPr="00BD1CC1">
        <w:br/>
      </w:r>
      <w:r w:rsidR="008F752B" w:rsidRPr="008F752B">
        <w:t xml:space="preserve">Herceptin </w:t>
      </w:r>
      <w:proofErr w:type="spellStart"/>
      <w:r w:rsidR="008F752B" w:rsidRPr="008F752B">
        <w:t>Hylecta</w:t>
      </w:r>
      <w:proofErr w:type="spellEnd"/>
    </w:p>
    <w:p w14:paraId="1ACCB696" w14:textId="1FFF3CE1" w:rsidR="008F752B" w:rsidRPr="00D15671" w:rsidRDefault="008F752B" w:rsidP="00D15671">
      <w:pPr>
        <w:pStyle w:val="Heading2"/>
      </w:pPr>
      <w:r w:rsidRPr="00D15671">
        <w:t>Products Referenced by this Document</w:t>
      </w:r>
    </w:p>
    <w:p w14:paraId="3A854B38" w14:textId="0A4DD0E8" w:rsidR="008F752B" w:rsidRPr="00BD1CC1" w:rsidRDefault="008F752B" w:rsidP="008F752B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F50CB8">
        <w:t>Over</w:t>
      </w:r>
      <w:r w:rsidR="008D5CFB">
        <w:t>-</w:t>
      </w:r>
      <w:r w:rsidR="00F50CB8">
        <w:t>the</w:t>
      </w:r>
      <w:r w:rsidR="008D5CFB">
        <w:t>-</w:t>
      </w:r>
      <w:r w:rsidR="00F50CB8">
        <w:t>counter (</w:t>
      </w:r>
      <w:r w:rsidRPr="00BD1CC1">
        <w:t>OTC</w:t>
      </w:r>
      <w:r w:rsidR="00F50CB8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8F752B" w:rsidRPr="00BD1CC1" w14:paraId="3A8E556B" w14:textId="77777777" w:rsidTr="00366589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6A37C10" w14:textId="77777777" w:rsidR="008F752B" w:rsidRPr="00BD1CC1" w:rsidRDefault="008F752B" w:rsidP="00366589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68DB27AF" w14:textId="77777777" w:rsidR="008F752B" w:rsidRPr="00BD1CC1" w:rsidRDefault="008F752B" w:rsidP="00366589">
            <w:pPr>
              <w:pStyle w:val="TableHeader"/>
            </w:pPr>
            <w:r w:rsidRPr="00BD1CC1">
              <w:t>Generic Name</w:t>
            </w:r>
          </w:p>
        </w:tc>
      </w:tr>
      <w:tr w:rsidR="008F752B" w:rsidRPr="00BD1CC1" w14:paraId="799971EB" w14:textId="77777777" w:rsidTr="00366589">
        <w:trPr>
          <w:cantSplit/>
        </w:trPr>
        <w:tc>
          <w:tcPr>
            <w:tcW w:w="5265" w:type="dxa"/>
          </w:tcPr>
          <w:p w14:paraId="016FB27B" w14:textId="63A8651E" w:rsidR="008F752B" w:rsidRPr="00BD1CC1" w:rsidRDefault="008F752B" w:rsidP="00366589">
            <w:pPr>
              <w:pStyle w:val="TableDataUnpadded"/>
            </w:pPr>
            <w:r w:rsidRPr="008F752B">
              <w:t xml:space="preserve">Herceptin </w:t>
            </w:r>
            <w:proofErr w:type="spellStart"/>
            <w:r w:rsidRPr="008F752B">
              <w:t>Hylecta</w:t>
            </w:r>
            <w:proofErr w:type="spellEnd"/>
          </w:p>
        </w:tc>
        <w:tc>
          <w:tcPr>
            <w:tcW w:w="5595" w:type="dxa"/>
          </w:tcPr>
          <w:p w14:paraId="351ECC89" w14:textId="434A409F" w:rsidR="008F752B" w:rsidRPr="00BD1CC1" w:rsidRDefault="008F752B" w:rsidP="00366589">
            <w:pPr>
              <w:pStyle w:val="TableDataUnpadded"/>
            </w:pPr>
            <w:r w:rsidRPr="008F752B">
              <w:t>trastuzumab and hyaluronidase-</w:t>
            </w:r>
            <w:proofErr w:type="spellStart"/>
            <w:r w:rsidRPr="008F752B">
              <w:t>oysk</w:t>
            </w:r>
            <w:proofErr w:type="spellEnd"/>
          </w:p>
        </w:tc>
      </w:tr>
    </w:tbl>
    <w:bookmarkEnd w:id="0"/>
    <w:p w14:paraId="14CE6108" w14:textId="66540AE7" w:rsidR="00FC1AAD" w:rsidRPr="00460F4A" w:rsidRDefault="00ED052F" w:rsidP="00D15671">
      <w:pPr>
        <w:pStyle w:val="Heading2"/>
      </w:pPr>
      <w:r>
        <w:t>Indications</w:t>
      </w:r>
    </w:p>
    <w:p w14:paraId="134B5687" w14:textId="4461933E" w:rsidR="00ED052F" w:rsidRDefault="00ED052F" w:rsidP="00ED052F">
      <w:pPr>
        <w:pStyle w:val="Heading3"/>
        <w:keepNext w:val="0"/>
      </w:pPr>
      <w:r w:rsidRPr="00BD1CC1">
        <w:t>FDA-</w:t>
      </w:r>
      <w:r w:rsidR="008F752B">
        <w:t>A</w:t>
      </w:r>
      <w:r w:rsidRPr="00BD1CC1">
        <w:t xml:space="preserve">pproved </w:t>
      </w:r>
      <w:r w:rsidR="00416963" w:rsidRPr="00BD1CC1">
        <w:t>Indications</w:t>
      </w:r>
    </w:p>
    <w:p w14:paraId="0B2624D1" w14:textId="26D202F4" w:rsidR="00FC757C" w:rsidRPr="008F752B" w:rsidRDefault="00FC757C" w:rsidP="008F752B">
      <w:pPr>
        <w:pStyle w:val="BodyText"/>
      </w:pPr>
      <w:r w:rsidRPr="00FC757C">
        <w:t xml:space="preserve">Herceptin </w:t>
      </w:r>
      <w:proofErr w:type="spellStart"/>
      <w:r w:rsidRPr="00FC757C">
        <w:t>Hylecta</w:t>
      </w:r>
      <w:proofErr w:type="spellEnd"/>
      <w:r w:rsidRPr="00FC757C">
        <w:t xml:space="preserve"> is indicated for adjuvant treatment of adults with HER2 overexpressing node positive or node negative (ER/PR negative or with one high risk feature) breast cancer:</w:t>
      </w:r>
    </w:p>
    <w:p w14:paraId="515F0AA4" w14:textId="61C80FDF" w:rsidR="00FC757C" w:rsidRPr="008F752B" w:rsidRDefault="00FC757C" w:rsidP="008F752B">
      <w:pPr>
        <w:pStyle w:val="ListParagraph"/>
        <w:numPr>
          <w:ilvl w:val="0"/>
          <w:numId w:val="35"/>
        </w:numPr>
        <w:ind w:left="720"/>
      </w:pPr>
      <w:r w:rsidRPr="00FC757C">
        <w:t>As part of a treatment regimen consisting of doxorubicin, cyclophosphamide, and either paclitaxel or docetaxel</w:t>
      </w:r>
    </w:p>
    <w:p w14:paraId="46280F91" w14:textId="5315D7EB" w:rsidR="00FC757C" w:rsidRPr="008F752B" w:rsidRDefault="00FC757C" w:rsidP="008F752B">
      <w:pPr>
        <w:pStyle w:val="ListParagraph"/>
        <w:numPr>
          <w:ilvl w:val="0"/>
          <w:numId w:val="35"/>
        </w:numPr>
        <w:ind w:left="720"/>
      </w:pPr>
      <w:r w:rsidRPr="00FC757C">
        <w:t>As part of a treatment regimen with docetaxel and carboplatin</w:t>
      </w:r>
    </w:p>
    <w:p w14:paraId="09EA0D4A" w14:textId="08094085" w:rsidR="00FC757C" w:rsidRPr="008F752B" w:rsidRDefault="00FC757C" w:rsidP="008F752B">
      <w:pPr>
        <w:pStyle w:val="ListParagraph"/>
        <w:numPr>
          <w:ilvl w:val="0"/>
          <w:numId w:val="35"/>
        </w:numPr>
        <w:spacing w:after="120"/>
        <w:ind w:left="720"/>
      </w:pPr>
      <w:r w:rsidRPr="00FC757C">
        <w:t>As a single agent following multi-modality anthracycline based therapy</w:t>
      </w:r>
    </w:p>
    <w:p w14:paraId="40CAC119" w14:textId="65FCE23D" w:rsidR="00FC757C" w:rsidRPr="00FC757C" w:rsidRDefault="00FC757C" w:rsidP="008F752B">
      <w:pPr>
        <w:pStyle w:val="BodyText"/>
        <w:rPr>
          <w:lang w:val="en-IN" w:eastAsia="en-IN"/>
        </w:rPr>
      </w:pPr>
      <w:r w:rsidRPr="00FC757C">
        <w:rPr>
          <w:lang w:eastAsia="en-IN"/>
        </w:rPr>
        <w:t xml:space="preserve">Herceptin </w:t>
      </w:r>
      <w:proofErr w:type="spellStart"/>
      <w:r w:rsidRPr="00FC757C">
        <w:rPr>
          <w:lang w:eastAsia="en-IN"/>
        </w:rPr>
        <w:t>Hylecta</w:t>
      </w:r>
      <w:proofErr w:type="spellEnd"/>
      <w:r w:rsidRPr="00FC757C">
        <w:rPr>
          <w:lang w:eastAsia="en-IN"/>
        </w:rPr>
        <w:t xml:space="preserve"> is indicated in adults:</w:t>
      </w:r>
    </w:p>
    <w:p w14:paraId="3D5EA0F1" w14:textId="318039A5" w:rsidR="00FC757C" w:rsidRPr="008F752B" w:rsidRDefault="00FC757C" w:rsidP="008F752B">
      <w:pPr>
        <w:pStyle w:val="ListParagraph"/>
        <w:numPr>
          <w:ilvl w:val="0"/>
          <w:numId w:val="35"/>
        </w:numPr>
        <w:ind w:left="720"/>
      </w:pPr>
      <w:r w:rsidRPr="00FC757C">
        <w:t>In combination with paclitaxel for first-line treatment of HER2-overexpressing metastatic breast cancer</w:t>
      </w:r>
    </w:p>
    <w:p w14:paraId="7251149D" w14:textId="1F302F9B" w:rsidR="00FC757C" w:rsidRPr="008F752B" w:rsidRDefault="00FC757C" w:rsidP="008F752B">
      <w:pPr>
        <w:pStyle w:val="ListParagraph"/>
        <w:numPr>
          <w:ilvl w:val="0"/>
          <w:numId w:val="35"/>
        </w:numPr>
        <w:ind w:left="720"/>
      </w:pPr>
      <w:r w:rsidRPr="00FC757C">
        <w:t>As a single agent for treatment of HER2-overexpressing breast cancer in patients who have received one or more chemotherapy regimens for metastatic disease</w:t>
      </w:r>
    </w:p>
    <w:p w14:paraId="61C1425D" w14:textId="25F88F2B" w:rsidR="009A5649" w:rsidRPr="00BD1CC1" w:rsidRDefault="009A5649" w:rsidP="009A5649">
      <w:pPr>
        <w:pStyle w:val="Heading3"/>
        <w:rPr>
          <w:rStyle w:val="Emphasis"/>
          <w:i w:val="0"/>
          <w:iCs w:val="0"/>
          <w:sz w:val="32"/>
          <w:szCs w:val="32"/>
        </w:rPr>
      </w:pPr>
      <w:r w:rsidRPr="00BD1CC1">
        <w:rPr>
          <w:rStyle w:val="Emphasis"/>
          <w:i w:val="0"/>
          <w:iCs w:val="0"/>
          <w:sz w:val="32"/>
          <w:szCs w:val="32"/>
        </w:rPr>
        <w:t>Compendial Uses</w:t>
      </w:r>
    </w:p>
    <w:p w14:paraId="2AAF5645" w14:textId="169F1DC9" w:rsidR="00FC757C" w:rsidRPr="00FC757C" w:rsidRDefault="00FC757C" w:rsidP="00D15671">
      <w:pPr>
        <w:pStyle w:val="BodyText"/>
        <w:spacing w:after="60"/>
      </w:pPr>
      <w:r w:rsidRPr="00FC757C">
        <w:t>HER2-positive breast cancer: may be substituted for intravenous trastuzumab and used as a single agent or in combination with other systemic therapies</w:t>
      </w:r>
    </w:p>
    <w:p w14:paraId="238D5907" w14:textId="71465EA4" w:rsidR="00FC757C" w:rsidRPr="000111D6" w:rsidRDefault="00FC757C" w:rsidP="00D15671">
      <w:pPr>
        <w:pStyle w:val="BodyText"/>
        <w:spacing w:after="0"/>
        <w:rPr>
          <w:rFonts w:cs="Segoe UI"/>
          <w:lang w:val="en-IN" w:eastAsia="en-IN"/>
        </w:rPr>
      </w:pPr>
      <w:r w:rsidRPr="00FC757C">
        <w:t>All other indications are considered experimental/investigational and not medically necessary</w:t>
      </w:r>
      <w:r w:rsidRPr="00FC757C">
        <w:rPr>
          <w:rFonts w:ascii="Arial" w:hAnsi="Arial"/>
          <w:sz w:val="20"/>
          <w:lang w:eastAsia="en-IN"/>
        </w:rPr>
        <w:t>.</w:t>
      </w:r>
    </w:p>
    <w:p w14:paraId="36381B6D" w14:textId="6F5A4F09" w:rsidR="000D2496" w:rsidRPr="00BD1CC1" w:rsidRDefault="000D2496" w:rsidP="00D15671">
      <w:pPr>
        <w:pStyle w:val="Heading2"/>
      </w:pPr>
      <w:r w:rsidRPr="00BD1CC1">
        <w:lastRenderedPageBreak/>
        <w:t>Documentation</w:t>
      </w:r>
    </w:p>
    <w:p w14:paraId="5D4CD6F7" w14:textId="33A9A361" w:rsidR="00021C51" w:rsidRPr="00BD1CC1" w:rsidRDefault="002C7E68" w:rsidP="00D15671">
      <w:pPr>
        <w:pStyle w:val="BodyText"/>
        <w:spacing w:after="0"/>
      </w:pPr>
      <w:r w:rsidRPr="002C7E68">
        <w:t>Submission of human epidermal growth factor receptor 2 (HER2) status is necessary to initiate the prior authorization review.</w:t>
      </w:r>
    </w:p>
    <w:p w14:paraId="50A38FBA" w14:textId="61158981" w:rsidR="00FE0C63" w:rsidRPr="008F752B" w:rsidRDefault="00D97CF8" w:rsidP="00D15671">
      <w:pPr>
        <w:pStyle w:val="Heading2"/>
      </w:pPr>
      <w:r>
        <w:t xml:space="preserve">Coverage </w:t>
      </w:r>
      <w:r w:rsidR="008F752B" w:rsidRPr="008F752B">
        <w:t>Criteria</w:t>
      </w:r>
    </w:p>
    <w:p w14:paraId="44C3982A" w14:textId="75523F7B" w:rsidR="000B4C32" w:rsidRPr="000B4C32" w:rsidRDefault="000B4C32" w:rsidP="008F752B">
      <w:pPr>
        <w:pStyle w:val="Heading3"/>
      </w:pPr>
      <w:r w:rsidRPr="000B4C32">
        <w:t xml:space="preserve">Breast </w:t>
      </w:r>
      <w:r w:rsidR="00AF5C67" w:rsidRPr="000B4C32">
        <w:t>Cancer</w:t>
      </w:r>
    </w:p>
    <w:p w14:paraId="1EB16531" w14:textId="0DED8600" w:rsidR="000B4C32" w:rsidRPr="000B4C32" w:rsidRDefault="000B4C32" w:rsidP="008F752B">
      <w:pPr>
        <w:pStyle w:val="ListParagraph"/>
        <w:numPr>
          <w:ilvl w:val="0"/>
          <w:numId w:val="35"/>
        </w:numPr>
        <w:ind w:left="720"/>
      </w:pPr>
      <w:r w:rsidRPr="000B4C32">
        <w:t>Authorization of up to 12 months may be granted for adjuvant treatment of HER2-positive breast cancer.</w:t>
      </w:r>
    </w:p>
    <w:p w14:paraId="1683CBCA" w14:textId="6C3A6598" w:rsidR="000B4C32" w:rsidRPr="000B4C32" w:rsidRDefault="000B4C32" w:rsidP="008F752B">
      <w:pPr>
        <w:pStyle w:val="ListParagraph"/>
        <w:numPr>
          <w:ilvl w:val="0"/>
          <w:numId w:val="35"/>
        </w:numPr>
        <w:ind w:left="720"/>
      </w:pPr>
      <w:r w:rsidRPr="000B4C32">
        <w:t>Authorization of 12 months may be granted for treatment of HER2-positive breast cancer with no response to preoperative systemic therapy, recurrent, unresectable, advanced, or metastatic (including brain metastases) disease.</w:t>
      </w:r>
    </w:p>
    <w:p w14:paraId="592DC6B1" w14:textId="77777777" w:rsidR="000B4C32" w:rsidRPr="000B4C32" w:rsidRDefault="000B4C32" w:rsidP="00D15671">
      <w:pPr>
        <w:pStyle w:val="ListParagraph"/>
        <w:numPr>
          <w:ilvl w:val="0"/>
          <w:numId w:val="35"/>
        </w:numPr>
        <w:spacing w:after="0"/>
        <w:ind w:left="720"/>
      </w:pPr>
      <w:r w:rsidRPr="000B4C32">
        <w:t>Authorization of up to 12 months may be granted for neoadjuvant treatment of HER2-positive breast cancer as part of a complete treatment regimen.</w:t>
      </w:r>
    </w:p>
    <w:p w14:paraId="3A643EC3" w14:textId="458668A2" w:rsidR="00A501AC" w:rsidRPr="00BD1CC1" w:rsidRDefault="00A501AC" w:rsidP="00D15671">
      <w:pPr>
        <w:pStyle w:val="Heading2"/>
      </w:pPr>
      <w:r w:rsidRPr="00BD1CC1">
        <w:t>Continuation of Therapy</w:t>
      </w:r>
    </w:p>
    <w:p w14:paraId="0811C917" w14:textId="42182690" w:rsidR="00A83733" w:rsidRDefault="00A83733" w:rsidP="00D15671">
      <w:pPr>
        <w:pStyle w:val="BodyText"/>
        <w:spacing w:after="0"/>
      </w:pPr>
      <w:r w:rsidRPr="00A83733">
        <w:t xml:space="preserve">Authorization of 12 months may be granted for continued treatment in members requesting reauthorization for an indication outlined in </w:t>
      </w:r>
      <w:r w:rsidR="00E06497" w:rsidRPr="003D46B0">
        <w:t xml:space="preserve">the </w:t>
      </w:r>
      <w:r w:rsidR="00BC1C9D" w:rsidRPr="00BC1C9D">
        <w:t>coverage criteria</w:t>
      </w:r>
      <w:r w:rsidR="00E06497" w:rsidRPr="003D46B0">
        <w:t xml:space="preserve"> section</w:t>
      </w:r>
      <w:r w:rsidR="00E06497" w:rsidRPr="00A83733" w:rsidDel="00E06497">
        <w:t xml:space="preserve"> </w:t>
      </w:r>
      <w:r w:rsidRPr="00A83733">
        <w:t>when there is no evidence of unacceptable toxicity or disease progression while on the current regimen. Adjuvant and neoadjuvant treatment of breast cancer will be approved for a total of 12 months of therapy.</w:t>
      </w:r>
    </w:p>
    <w:p w14:paraId="17409917" w14:textId="06F02349" w:rsidR="00C96B3F" w:rsidRPr="008F752B" w:rsidRDefault="00C96B3F" w:rsidP="00D15671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64366F46" w14:textId="546E8E01" w:rsidR="00A83733" w:rsidRPr="00A83733" w:rsidRDefault="00A83733" w:rsidP="00D01E18">
      <w:pPr>
        <w:pStyle w:val="ReferenceOrdered"/>
        <w:numPr>
          <w:ilvl w:val="0"/>
          <w:numId w:val="39"/>
        </w:numPr>
        <w:tabs>
          <w:tab w:val="clear" w:pos="720"/>
        </w:tabs>
        <w:ind w:left="360"/>
      </w:pPr>
      <w:r w:rsidRPr="00A83733">
        <w:t xml:space="preserve">Herceptin </w:t>
      </w:r>
      <w:proofErr w:type="spellStart"/>
      <w:r w:rsidRPr="00A83733">
        <w:t>Hylecta</w:t>
      </w:r>
      <w:proofErr w:type="spellEnd"/>
      <w:r w:rsidRPr="00A83733">
        <w:t xml:space="preserve"> [package insert]. South San Francisco, CA: Genentech, Inc.; </w:t>
      </w:r>
      <w:r w:rsidR="00E06497">
        <w:t>June 2024.</w:t>
      </w:r>
    </w:p>
    <w:p w14:paraId="1757CED6" w14:textId="21752130" w:rsidR="00A83733" w:rsidRPr="00A83733" w:rsidRDefault="00A83733" w:rsidP="00D01E18">
      <w:pPr>
        <w:pStyle w:val="ReferenceOrdered"/>
        <w:numPr>
          <w:ilvl w:val="0"/>
          <w:numId w:val="39"/>
        </w:numPr>
        <w:tabs>
          <w:tab w:val="clear" w:pos="720"/>
        </w:tabs>
        <w:ind w:left="360"/>
      </w:pPr>
      <w:r w:rsidRPr="00A83733">
        <w:t xml:space="preserve">The NCCN Drugs &amp; Biologics Compendium® © </w:t>
      </w:r>
      <w:r w:rsidR="007651CB" w:rsidRPr="00A83733">
        <w:t>202</w:t>
      </w:r>
      <w:r w:rsidR="00E06497">
        <w:t>4</w:t>
      </w:r>
      <w:r w:rsidR="007651CB" w:rsidRPr="00A83733">
        <w:t xml:space="preserve"> </w:t>
      </w:r>
      <w:r w:rsidRPr="00A83733">
        <w:t xml:space="preserve">National Comprehensive Cancer Network, Inc. https://www.nccn.org. Accessed </w:t>
      </w:r>
      <w:r w:rsidR="00E06497">
        <w:t xml:space="preserve">August </w:t>
      </w:r>
      <w:r w:rsidR="007651CB">
        <w:t>2</w:t>
      </w:r>
      <w:r w:rsidR="00E06497">
        <w:t>7</w:t>
      </w:r>
      <w:r w:rsidR="007651CB">
        <w:t>, 202</w:t>
      </w:r>
      <w:r w:rsidR="00E06497">
        <w:t>4</w:t>
      </w:r>
      <w:r w:rsidRPr="00A83733">
        <w:t>.</w:t>
      </w:r>
    </w:p>
    <w:p w14:paraId="3AF04D64" w14:textId="6C1581E2" w:rsidR="0021439E" w:rsidRPr="00B01A64" w:rsidRDefault="00A83733" w:rsidP="00B01A64">
      <w:pPr>
        <w:pStyle w:val="ReferenceOrdered"/>
        <w:keepNext w:val="0"/>
        <w:numPr>
          <w:ilvl w:val="0"/>
          <w:numId w:val="39"/>
        </w:numPr>
        <w:tabs>
          <w:tab w:val="clear" w:pos="720"/>
        </w:tabs>
        <w:spacing w:after="120"/>
        <w:ind w:left="360"/>
      </w:pPr>
      <w:r w:rsidRPr="00A83733">
        <w:t>National Comprehensive Cancer Network. NCCN Clinical Practice Guidelines in Oncology: Breast Cancer. Version 4.</w:t>
      </w:r>
      <w:r w:rsidR="00E06497" w:rsidRPr="00A83733">
        <w:t>202</w:t>
      </w:r>
      <w:r w:rsidR="00E06497">
        <w:t>4</w:t>
      </w:r>
      <w:r w:rsidRPr="00A83733">
        <w:t xml:space="preserve">. https://www.nccn.org/professionals/physician_gls/pdf/breast.pdf. Accessed </w:t>
      </w:r>
      <w:r w:rsidR="00E06497">
        <w:t>August 27</w:t>
      </w:r>
      <w:r w:rsidR="007651CB">
        <w:t xml:space="preserve">, </w:t>
      </w:r>
      <w:r w:rsidR="00E06497">
        <w:t>2024</w:t>
      </w:r>
      <w:r w:rsidRPr="00A83733">
        <w:t>.</w:t>
      </w:r>
    </w:p>
    <w:sectPr w:rsidR="0021439E" w:rsidRPr="00B01A64" w:rsidSect="000111D6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D666" w14:textId="77777777" w:rsidR="000A3660" w:rsidRDefault="000A3660">
      <w:r>
        <w:separator/>
      </w:r>
    </w:p>
  </w:endnote>
  <w:endnote w:type="continuationSeparator" w:id="0">
    <w:p w14:paraId="2B64BDD7" w14:textId="77777777" w:rsidR="000A3660" w:rsidRDefault="000A3660">
      <w:r>
        <w:continuationSeparator/>
      </w:r>
    </w:p>
  </w:endnote>
  <w:endnote w:type="continuationNotice" w:id="1">
    <w:p w14:paraId="1BF792C9" w14:textId="77777777" w:rsidR="000A3660" w:rsidRDefault="000A36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642F5329" w:rsidR="00C36B72" w:rsidRPr="008F752B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8F752B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F752B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8F752B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166FA" w:rsidRPr="006166FA">
      <w:rPr>
        <w:rFonts w:cs="Arial"/>
        <w:noProof/>
        <w:sz w:val="16"/>
        <w:szCs w:val="16"/>
      </w:rPr>
      <w:t>Herceptin</w:t>
    </w:r>
    <w:r w:rsidR="006166FA">
      <w:rPr>
        <w:rFonts w:cs="Arial"/>
        <w:noProof/>
        <w:snapToGrid w:val="0"/>
        <w:color w:val="000000"/>
        <w:sz w:val="16"/>
        <w:szCs w:val="16"/>
      </w:rPr>
      <w:t xml:space="preserve"> Hylecta SGM 3017-A</w:t>
    </w:r>
    <w:r w:rsidR="006166FA" w:rsidRPr="006166FA">
      <w:rPr>
        <w:rFonts w:cs="Arial"/>
        <w:noProof/>
        <w:sz w:val="16"/>
        <w:szCs w:val="16"/>
      </w:rPr>
      <w:t xml:space="preserve"> </w:t>
    </w:r>
    <w:r w:rsidR="006166FA">
      <w:rPr>
        <w:rFonts w:cs="Arial"/>
        <w:noProof/>
        <w:snapToGrid w:val="0"/>
        <w:color w:val="000000"/>
        <w:sz w:val="16"/>
        <w:szCs w:val="16"/>
      </w:rPr>
      <w:t>P2024a_R.docx</w:t>
    </w:r>
    <w:r w:rsidRPr="008F752B">
      <w:rPr>
        <w:rFonts w:cs="Arial"/>
        <w:noProof/>
        <w:sz w:val="16"/>
        <w:szCs w:val="16"/>
      </w:rPr>
      <w:fldChar w:fldCharType="end"/>
    </w:r>
    <w:r w:rsidRPr="008F752B">
      <w:rPr>
        <w:rFonts w:cs="Arial"/>
        <w:snapToGrid w:val="0"/>
        <w:color w:val="000000"/>
        <w:sz w:val="16"/>
      </w:rPr>
      <w:tab/>
      <w:t>© 202</w:t>
    </w:r>
    <w:r w:rsidR="008B6DBE" w:rsidRPr="008F752B">
      <w:rPr>
        <w:rFonts w:cs="Arial"/>
        <w:snapToGrid w:val="0"/>
        <w:color w:val="000000"/>
        <w:sz w:val="16"/>
      </w:rPr>
      <w:t>4</w:t>
    </w:r>
    <w:r w:rsidRPr="008F752B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69624FD" w:rsidR="00C36B72" w:rsidRPr="008F752B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8F752B">
      <w:rPr>
        <w:rFonts w:cs="Arial"/>
        <w:sz w:val="16"/>
        <w:szCs w:val="16"/>
      </w:rPr>
      <w:t>This document contains c</w:t>
    </w:r>
    <w:r w:rsidRPr="008F752B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8F752B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8F752B">
      <w:rPr>
        <w:rFonts w:cs="Arial"/>
        <w:snapToGrid w:val="0"/>
        <w:sz w:val="16"/>
        <w:szCs w:val="16"/>
      </w:rPr>
      <w:t>CVS Caremark</w:t>
    </w:r>
    <w:r w:rsidRPr="008F752B">
      <w:rPr>
        <w:rFonts w:cs="Arial"/>
        <w:sz w:val="16"/>
        <w:szCs w:val="16"/>
      </w:rPr>
      <w:t>.</w:t>
    </w:r>
  </w:p>
  <w:p w14:paraId="0DF8DEBC" w14:textId="446C50F7" w:rsidR="00F75C81" w:rsidRPr="008F752B" w:rsidRDefault="00C36B72" w:rsidP="00C30B5F">
    <w:pPr>
      <w:autoSpaceDE w:val="0"/>
      <w:autoSpaceDN w:val="0"/>
      <w:adjustRightInd w:val="0"/>
      <w:jc w:val="center"/>
      <w:rPr>
        <w:sz w:val="16"/>
        <w:szCs w:val="16"/>
      </w:rPr>
    </w:pPr>
    <w:r w:rsidRPr="008F752B">
      <w:rPr>
        <w:rFonts w:cs="Arial"/>
        <w:sz w:val="16"/>
        <w:szCs w:val="16"/>
      </w:rPr>
      <w:fldChar w:fldCharType="begin"/>
    </w:r>
    <w:r w:rsidRPr="008F752B">
      <w:rPr>
        <w:rFonts w:cs="Arial"/>
        <w:sz w:val="16"/>
        <w:szCs w:val="16"/>
      </w:rPr>
      <w:instrText xml:space="preserve"> PAGE </w:instrText>
    </w:r>
    <w:r w:rsidRPr="008F752B">
      <w:rPr>
        <w:rFonts w:cs="Arial"/>
        <w:sz w:val="16"/>
        <w:szCs w:val="16"/>
      </w:rPr>
      <w:fldChar w:fldCharType="separate"/>
    </w:r>
    <w:r w:rsidRPr="008F752B">
      <w:rPr>
        <w:rFonts w:cs="Arial"/>
        <w:sz w:val="16"/>
        <w:szCs w:val="16"/>
      </w:rPr>
      <w:t>8</w:t>
    </w:r>
    <w:r w:rsidRPr="008F752B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587D7A05" w:rsidR="00F50D98" w:rsidRPr="008F752B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8F752B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F752B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8F752B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01A64" w:rsidRPr="00B01A64">
      <w:rPr>
        <w:rFonts w:cs="Arial"/>
        <w:noProof/>
        <w:sz w:val="16"/>
        <w:szCs w:val="16"/>
      </w:rPr>
      <w:t>Herceptin</w:t>
    </w:r>
    <w:r w:rsidR="00B01A64">
      <w:rPr>
        <w:rFonts w:cs="Arial"/>
        <w:noProof/>
        <w:snapToGrid w:val="0"/>
        <w:color w:val="000000"/>
        <w:sz w:val="16"/>
        <w:szCs w:val="16"/>
      </w:rPr>
      <w:t xml:space="preserve"> Hylecta SGM 3017-A</w:t>
    </w:r>
    <w:r w:rsidR="00B01A64" w:rsidRPr="00B01A64">
      <w:rPr>
        <w:rFonts w:cs="Arial"/>
        <w:noProof/>
        <w:sz w:val="16"/>
        <w:szCs w:val="16"/>
      </w:rPr>
      <w:t xml:space="preserve"> </w:t>
    </w:r>
    <w:r w:rsidR="00B01A64">
      <w:rPr>
        <w:rFonts w:cs="Arial"/>
        <w:noProof/>
        <w:snapToGrid w:val="0"/>
        <w:color w:val="000000"/>
        <w:sz w:val="16"/>
        <w:szCs w:val="16"/>
      </w:rPr>
      <w:t>P2024a_R.docx</w:t>
    </w:r>
    <w:r w:rsidRPr="008F752B">
      <w:rPr>
        <w:rFonts w:cs="Arial"/>
        <w:noProof/>
        <w:sz w:val="16"/>
        <w:szCs w:val="16"/>
      </w:rPr>
      <w:fldChar w:fldCharType="end"/>
    </w:r>
    <w:r w:rsidRPr="008F752B">
      <w:rPr>
        <w:rFonts w:cs="Arial"/>
        <w:snapToGrid w:val="0"/>
        <w:color w:val="000000"/>
        <w:sz w:val="16"/>
      </w:rPr>
      <w:tab/>
      <w:t>© 202</w:t>
    </w:r>
    <w:r w:rsidR="00D74279" w:rsidRPr="008F752B">
      <w:rPr>
        <w:rFonts w:cs="Arial"/>
        <w:snapToGrid w:val="0"/>
        <w:color w:val="000000"/>
        <w:sz w:val="16"/>
      </w:rPr>
      <w:t>4</w:t>
    </w:r>
    <w:r w:rsidRPr="008F752B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0DA148E7" w:rsidR="00F50D98" w:rsidRPr="008F752B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8F752B">
      <w:rPr>
        <w:rFonts w:cs="Arial"/>
        <w:sz w:val="16"/>
        <w:szCs w:val="16"/>
      </w:rPr>
      <w:t>This document contains c</w:t>
    </w:r>
    <w:r w:rsidRPr="008F752B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8F752B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8F752B">
      <w:rPr>
        <w:rFonts w:cs="Arial"/>
        <w:snapToGrid w:val="0"/>
        <w:sz w:val="16"/>
        <w:szCs w:val="16"/>
      </w:rPr>
      <w:t>CVS Caremark</w:t>
    </w:r>
    <w:r w:rsidRPr="008F752B">
      <w:rPr>
        <w:rFonts w:cs="Arial"/>
        <w:sz w:val="16"/>
        <w:szCs w:val="16"/>
      </w:rPr>
      <w:t>.</w:t>
    </w:r>
  </w:p>
  <w:p w14:paraId="64F317B8" w14:textId="43585B21" w:rsidR="00ED04EC" w:rsidRPr="008F752B" w:rsidRDefault="00F50D98" w:rsidP="00C30B5F">
    <w:pPr>
      <w:autoSpaceDE w:val="0"/>
      <w:autoSpaceDN w:val="0"/>
      <w:adjustRightInd w:val="0"/>
      <w:jc w:val="center"/>
      <w:rPr>
        <w:sz w:val="16"/>
        <w:szCs w:val="16"/>
      </w:rPr>
    </w:pPr>
    <w:r w:rsidRPr="008F752B">
      <w:rPr>
        <w:rFonts w:cs="Arial"/>
        <w:sz w:val="16"/>
        <w:szCs w:val="16"/>
      </w:rPr>
      <w:fldChar w:fldCharType="begin"/>
    </w:r>
    <w:r w:rsidRPr="008F752B">
      <w:rPr>
        <w:rFonts w:cs="Arial"/>
        <w:sz w:val="16"/>
        <w:szCs w:val="16"/>
      </w:rPr>
      <w:instrText xml:space="preserve"> PAGE </w:instrText>
    </w:r>
    <w:r w:rsidRPr="008F752B">
      <w:rPr>
        <w:rFonts w:cs="Arial"/>
        <w:sz w:val="16"/>
        <w:szCs w:val="16"/>
      </w:rPr>
      <w:fldChar w:fldCharType="separate"/>
    </w:r>
    <w:r w:rsidRPr="008F752B">
      <w:rPr>
        <w:rFonts w:cs="Arial"/>
        <w:sz w:val="16"/>
        <w:szCs w:val="16"/>
      </w:rPr>
      <w:t>2</w:t>
    </w:r>
    <w:r w:rsidRPr="008F752B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3CDA" w14:textId="77777777" w:rsidR="000A3660" w:rsidRDefault="000A3660">
      <w:r>
        <w:separator/>
      </w:r>
    </w:p>
  </w:footnote>
  <w:footnote w:type="continuationSeparator" w:id="0">
    <w:p w14:paraId="13FF5ACA" w14:textId="77777777" w:rsidR="000A3660" w:rsidRDefault="000A3660">
      <w:r>
        <w:continuationSeparator/>
      </w:r>
    </w:p>
  </w:footnote>
  <w:footnote w:type="continuationNotice" w:id="1">
    <w:p w14:paraId="3B8EF451" w14:textId="77777777" w:rsidR="000A3660" w:rsidRDefault="000A36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8F752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8F752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08E6786" w:rsidR="00ED04EC" w:rsidRPr="008F752B" w:rsidRDefault="008F752B" w:rsidP="00ED04EC">
          <w:pPr>
            <w:pStyle w:val="Header"/>
            <w:rPr>
              <w:rFonts w:cs="Arial"/>
              <w:sz w:val="16"/>
              <w:szCs w:val="16"/>
            </w:rPr>
          </w:pPr>
          <w:r w:rsidRPr="008F752B">
            <w:rPr>
              <w:rFonts w:cs="Arial"/>
              <w:sz w:val="16"/>
              <w:szCs w:val="16"/>
            </w:rPr>
            <w:t>3017-A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696A26"/>
    <w:multiLevelType w:val="hybridMultilevel"/>
    <w:tmpl w:val="FA923794"/>
    <w:lvl w:ilvl="0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970B97"/>
    <w:multiLevelType w:val="multilevel"/>
    <w:tmpl w:val="9932A86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ACC2DE7"/>
    <w:multiLevelType w:val="multilevel"/>
    <w:tmpl w:val="EDB0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BF67B3"/>
    <w:multiLevelType w:val="multilevel"/>
    <w:tmpl w:val="F4A63F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E47D53"/>
    <w:multiLevelType w:val="multilevel"/>
    <w:tmpl w:val="EDB01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FD3E8F"/>
    <w:multiLevelType w:val="multilevel"/>
    <w:tmpl w:val="8F3EE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86CE5"/>
    <w:multiLevelType w:val="multilevel"/>
    <w:tmpl w:val="9EBC18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410167"/>
    <w:multiLevelType w:val="multilevel"/>
    <w:tmpl w:val="F5DA78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34730F"/>
    <w:multiLevelType w:val="multilevel"/>
    <w:tmpl w:val="89169D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5B4597"/>
    <w:multiLevelType w:val="multilevel"/>
    <w:tmpl w:val="05A882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23A53"/>
    <w:multiLevelType w:val="multilevel"/>
    <w:tmpl w:val="68C26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E5313"/>
    <w:multiLevelType w:val="multilevel"/>
    <w:tmpl w:val="ABCA0C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7301F2"/>
    <w:multiLevelType w:val="multilevel"/>
    <w:tmpl w:val="9502E6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4F7559"/>
    <w:multiLevelType w:val="hybridMultilevel"/>
    <w:tmpl w:val="0486F006"/>
    <w:lvl w:ilvl="0" w:tplc="08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73EA3C24"/>
    <w:multiLevelType w:val="multilevel"/>
    <w:tmpl w:val="EA2419D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672B5"/>
    <w:multiLevelType w:val="multilevel"/>
    <w:tmpl w:val="D6144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4921869">
    <w:abstractNumId w:val="12"/>
  </w:num>
  <w:num w:numId="2" w16cid:durableId="606935877">
    <w:abstractNumId w:val="33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2"/>
  </w:num>
  <w:num w:numId="17" w16cid:durableId="2128498676">
    <w:abstractNumId w:val="38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7"/>
  </w:num>
  <w:num w:numId="21" w16cid:durableId="1066490929">
    <w:abstractNumId w:val="39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30"/>
  </w:num>
  <w:num w:numId="25" w16cid:durableId="507404939">
    <w:abstractNumId w:val="21"/>
  </w:num>
  <w:num w:numId="26" w16cid:durableId="267929949">
    <w:abstractNumId w:val="20"/>
  </w:num>
  <w:num w:numId="27" w16cid:durableId="917445491">
    <w:abstractNumId w:val="26"/>
  </w:num>
  <w:num w:numId="28" w16cid:durableId="1216241043">
    <w:abstractNumId w:val="35"/>
  </w:num>
  <w:num w:numId="29" w16cid:durableId="2058625843">
    <w:abstractNumId w:val="37"/>
  </w:num>
  <w:num w:numId="30" w16cid:durableId="174812151">
    <w:abstractNumId w:val="19"/>
  </w:num>
  <w:num w:numId="31" w16cid:durableId="1995836124">
    <w:abstractNumId w:val="24"/>
  </w:num>
  <w:num w:numId="32" w16cid:durableId="129905068">
    <w:abstractNumId w:val="14"/>
  </w:num>
  <w:num w:numId="33" w16cid:durableId="1021397743">
    <w:abstractNumId w:val="15"/>
  </w:num>
  <w:num w:numId="34" w16cid:durableId="143592718">
    <w:abstractNumId w:val="11"/>
  </w:num>
  <w:num w:numId="35" w16cid:durableId="115486138">
    <w:abstractNumId w:val="36"/>
  </w:num>
  <w:num w:numId="36" w16cid:durableId="1019165682">
    <w:abstractNumId w:val="29"/>
  </w:num>
  <w:num w:numId="37" w16cid:durableId="100882749">
    <w:abstractNumId w:val="23"/>
  </w:num>
  <w:num w:numId="38" w16cid:durableId="1901405012">
    <w:abstractNumId w:val="32"/>
  </w:num>
  <w:num w:numId="39" w16cid:durableId="1696615683">
    <w:abstractNumId w:val="40"/>
  </w:num>
  <w:num w:numId="40" w16cid:durableId="689913047">
    <w:abstractNumId w:val="18"/>
  </w:num>
  <w:num w:numId="41" w16cid:durableId="1689912201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FE0"/>
    <w:rsid w:val="000111D6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3660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4C32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A2D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2FC2"/>
    <w:rsid w:val="0012443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39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5C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C7E68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391B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3BC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26F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5A8C"/>
    <w:rsid w:val="003B5C47"/>
    <w:rsid w:val="003B6158"/>
    <w:rsid w:val="003B6C07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2DD"/>
    <w:rsid w:val="003E4C87"/>
    <w:rsid w:val="003E54DE"/>
    <w:rsid w:val="003E57BF"/>
    <w:rsid w:val="003E6FC2"/>
    <w:rsid w:val="003E7191"/>
    <w:rsid w:val="003E7944"/>
    <w:rsid w:val="003F049D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6963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25FC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74A"/>
    <w:rsid w:val="00482B30"/>
    <w:rsid w:val="00482C36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118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3C3F"/>
    <w:rsid w:val="004E407D"/>
    <w:rsid w:val="004E4FB7"/>
    <w:rsid w:val="004E563C"/>
    <w:rsid w:val="004E69C5"/>
    <w:rsid w:val="004E6C9B"/>
    <w:rsid w:val="004E6FA5"/>
    <w:rsid w:val="004F0718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6978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4D65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D9F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6FA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B71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6F97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2A9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1CB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2F52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B7D"/>
    <w:rsid w:val="007F5BA5"/>
    <w:rsid w:val="007F6891"/>
    <w:rsid w:val="008011A9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2B4B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688"/>
    <w:rsid w:val="008D57F5"/>
    <w:rsid w:val="008D5871"/>
    <w:rsid w:val="008D5BCA"/>
    <w:rsid w:val="008D5CFB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52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733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5C67"/>
    <w:rsid w:val="00AF6487"/>
    <w:rsid w:val="00AF6F09"/>
    <w:rsid w:val="00B00963"/>
    <w:rsid w:val="00B01716"/>
    <w:rsid w:val="00B01A64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191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36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1C9D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B5F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2D7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CB9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1E1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671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4DBB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1D26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97CF8"/>
    <w:rsid w:val="00DA05D5"/>
    <w:rsid w:val="00DA0924"/>
    <w:rsid w:val="00DA29A1"/>
    <w:rsid w:val="00DA2BE1"/>
    <w:rsid w:val="00DA307C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6497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0803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4896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40D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5CC"/>
    <w:rsid w:val="00F16EAA"/>
    <w:rsid w:val="00F1748F"/>
    <w:rsid w:val="00F17594"/>
    <w:rsid w:val="00F17E4B"/>
    <w:rsid w:val="00F2074F"/>
    <w:rsid w:val="00F21995"/>
    <w:rsid w:val="00F21B41"/>
    <w:rsid w:val="00F21E7E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CB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39C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6A0B"/>
    <w:rsid w:val="00FC740F"/>
    <w:rsid w:val="00FC757C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4BD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D15671"/>
    <w:pPr>
      <w:keepNext/>
      <w:tabs>
        <w:tab w:val="left" w:pos="2880"/>
      </w:tabs>
      <w:spacing w:before="30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8D5688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D15671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8D5688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Normal"/>
    <w:link w:val="TableDataUnpaddedChar"/>
    <w:qFormat/>
    <w:rsid w:val="008F752B"/>
    <w:rPr>
      <w:rFonts w:eastAsia="Arial" w:cs="Arial"/>
      <w:szCs w:val="22"/>
    </w:rPr>
  </w:style>
  <w:style w:type="character" w:customStyle="1" w:styleId="TableDataUnpaddedChar">
    <w:name w:val="Table Data Unpadded Char"/>
    <w:basedOn w:val="DefaultParagraphFont"/>
    <w:link w:val="TableDataUnpadded"/>
    <w:rsid w:val="008F752B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6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2C52E9B7-42EC-4848-8D3F-40B8651385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2504</Characters>
  <Application>Microsoft Office Word</Application>
  <DocSecurity>0</DocSecurity>
  <Lines>59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UM PrimaryTemplate</vt:lpstr>
    </vt:vector>
  </TitlesOfParts>
  <Company>PCS Health Systems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Herceptin Hylecta 3017-A SGM P2023</dc:title>
  <dc:subject/>
  <dc:creator>CVS Caremark</dc:creator>
  <cp:keywords/>
  <cp:lastModifiedBy>Huerta, Linda M</cp:lastModifiedBy>
  <cp:revision>7</cp:revision>
  <cp:lastPrinted>2024-04-04T10:22:00Z</cp:lastPrinted>
  <dcterms:created xsi:type="dcterms:W3CDTF">2024-12-17T16:49:00Z</dcterms:created>
  <dcterms:modified xsi:type="dcterms:W3CDTF">2025-01-16T20:27:00Z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